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en-US" w:eastAsia="zh-CN"/>
        </w:rPr>
        <w:t>Product name: Kaempferol 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Quality standard: National Standard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Shelf life: 24 months 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Detailed description: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Alias: Kaempferia galanga phenol - 3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English name:Kaempferol 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CAS NO:520-18-3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Test method: HPLC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Product specification: 10% 30% 50% 80% 90% 98%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Property: Light yellow powder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Source of extraction:Sophora fruit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Storage method: The product should be sealed and stored in a cool and dry place.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Package specification: 1kg / aluminum foil bag, 25kg/Drum or as required by customers</w:t>
      </w:r>
      <w:r>
        <w:rPr>
          <w:lang w:val="en-US" w:eastAsia="zh-CN"/>
        </w:rPr>
        <w:br w:type="textWrapping"/>
      </w:r>
      <w:r>
        <w:rPr>
          <w:lang w:val="en-US" w:eastAsia="zh-CN"/>
        </w:rPr>
        <w:t xml:space="preserve">Product introduction: Kaempferol is slightly soluble in water,Soluble in hot ethanol,stable under normal conditions. 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79E6"/>
    <w:rsid w:val="497B79E6"/>
    <w:rsid w:val="5AB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2021-01-27T01:29:00Z</dcterms:created>
  <dc:creator>48153</dc:creator>
  <cp:lastModifiedBy>48153</cp:lastModifiedBy>
  <dcterms:modified xsi:type="dcterms:W3CDTF">2021-01-27T03:04:08Z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